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2021/153 vom 12. Dezember 2021</w:t>
      </w:r>
    </w:p>
    <w:p>
      <w:r>
        <w:t>Sg Verwaltungsgericht, 2021-12-12, DE</w:t>
      </w:r>
    </w:p>
    <w:p>
      <w:r>
        <w:rPr>
          <w:b/>
        </w:rPr>
        <w:t xml:space="preserve">Quelle: </w:t>
      </w:r>
      <w:r>
        <w:t>https://mcp.opencaselaw.ch/entscheid/sg_publikationen_B 2021_153</w:t>
      </w:r>
    </w:p>
    <w:p>
      <w:r>
        <w:t>FR: SG_VERWALTUNGSGERICHT B 2021/153 du 12 décembre 2021</w:t>
      </w:r>
    </w:p>
    <w:p>
      <w:r>
        <w:t>IT: SG_VERWALTUNGSGERICHT B 2021/153 del 12 dicembre 2021</w:t>
      </w:r>
    </w:p>
    <w:p>
      <w:pPr>
        <w:pStyle w:val="Heading2"/>
      </w:pPr>
      <w:r>
        <w:t>Regeste</w:t>
      </w:r>
    </w:p>
    <w:p>
      <w:r>
        <w:t>Finanzielle Unterstützung im Zusammenhang mit der Covid-19-Epidemie, Bemessung der A-Fonds-perdu-Beiträge, Art. 12 Abs. 1 des Bundesgesetzes über die gesetzlichen Grundlagen für die Verordnungen des Bundesrates zur Bewältigung der Covid-19-Epidemie (SR 818.102), Art. 5a der Verordnung über Härtefallmassnahmen für Unternehmen im Zusammenhang mit der Covid-19-Epidemie (SR 951.262), Art. 5 Abs. 1 lit. b und Abs. 2 des Gesetzes über die wirtschaftliche Unterstützung von Unternehmen sowie von durch die öffentliche Hand geführten Institutionen der familienergänzenden Kinderbetreuung in Zusammenhang mit der Covid-19-Epidemie (sGS 571.3). Die nicht rückzahlbaren A-Fonds-perdu-Beiträge sind bei Unternehmen mit einem Jahresumsatz bis 5 Millionen Franken so zu bemessen, dass sie höchstens die ungedeckten Fixkosten decken, um Überentschädigungen zu vermeiden. Dass bei der Ermittlung der ungedeckten Fixkosten ein gewisser Schematismus greifen muss, erscheint von der Sach- und Interessenlage her geboten. Überprüfung der Berechnungsmethoden der Vorinstanz, einerseits allgemein ausgehend vom in der Jahresrechnung 2020 ausgewiesenen Jahresergebnis unter Hinzurechnung der getätigten, liquiditätsunwirksamen Abschreibungen (sog. indirekter Cashflow) und anschliessender Reduktion um die Hälfte der durchschnittlichen Abschreibungen der Jahre 2018/2019, andrerseits für den Zeitraum der behördlichen Schliessung aufgrund des von den Unternehmen für 2021 prognostizierten übrigen Betriebsaufwands, Finanzaufwands und ausserordentlichen Aufwands, wiederum abzüglich der Hälfte der durchschnittlichen Abschreibungen 2018/2019, in beiden Fällen jeweils erweitert den pauschalen Zuschlag für Berechnungsungenauigkeiten von 20 Prozent. Da das Verwaltungsgericht als erste Gerichtsinstanz – hier sogar ohne vorgängiges internes Rekursverfahren – entscheidet, findet das Novenverbot von Art. 61 Abs. 3 VRP keine Anwendung. Es rechtfertigt sich daher, auf die Zahlen des mittlerweile vorliegenden definitiven Jahresabschlusses 2020 abzustellen, was zu einer teilweisen Gutheissung der Beschwerde führt (Verwaltungsgericht, B 2021/153).</w:t>
      </w:r>
    </w:p>
    <w:p>
      <w:pPr>
        <w:pStyle w:val="Heading2"/>
      </w:pPr>
      <w:r>
        <w:t>Erwägungen</w:t>
      </w:r>
    </w:p>
    <w:p>
      <w:r>
        <w:rPr>
          <w:b/>
        </w:rPr>
        <w:t>E. 50</w:t>
      </w:r>
    </w:p>
    <w:p>
      <w:r>
        <w:t>Prozent der Abschreibungen 2018/2019                 – 36'051    – 36'051 Ungedeckte Fixkosten 2020 (12 Monate)                    keine      = –   8'163 Ungedeckte Fixkosten Juni 2021 (1 Monat)                keine         –      680 Ungedeckte Fixkosten 2020 und Juni 2021 keine          –   8'843 Der Betrag der ungedeckten Fixkosten von CHF 8'843 ist sodann um den pauschalen Zuschlag für Berechnungsungenauigkeiten von 20 Prozent auf CHF 10'612 zu erhöhen. Für die Berechnung der ungedeckten Fixkosten der Monate Januar bis Mai 2021 ändert sich im Ergebnis hingegen nichts, weil dort auf die mutmasslichen Fixkosten fürs laufende Jahr bzw. den selbstdeklarierten Umsatz und nicht auf die Jahresrechnung 2020 abgestellt wurde. Der der Beschwerdeführerin zustehende nicht rückzahlbare Beitrag für das Jahr 2020 bis und mit Juni 2021 beträgt somit insgesamt CHF 71'300 (CHF 60'700 plus CHF 10'600, gerundet auf CHF 100). 7. Zusammenfassend hat die Vorinstanz die ungedeckten Fixkosten der Beschwerdeführerin für 2020 bis und mit Juni 2021 in der angefochtenen Verfügung mit einem nicht rückzahlbaren Beitrag von CHF 54'000 korrekt ermittelt. Aufgrund der aus dem mit der Beschwerde eingereichten definitiven Jahresabschluss 2020 resultierenden Differenz (CHF 10'600) und unter Einbezug der Nachzahlung für den Monat Mai 2021 (CHF 6'700) ergibt sich indessen eine Erhöhung des nicht rückzahlbaren Beitrags auf CHF 71'300. Die Beschwerde ist insofern somit teilweise gutzuheissen, Ziffer 1 der angefochtenen Verfügung aufzuheben und der Beschwerdeführerin im Sinne der Erwägungen ein nicht rückzahlbarer Beitrag von CHF 71'300 zuzusprechen, wobei allenfalls bereits ausbezahlte Beiträge anzurechnen sind. Bezüglich des darüber hinaus beantragten Beitrages (gemäss Hauptantrag: CHF 133'560) ist die Beschwerde indes abzuweisen. 8. In Streitigkeiten hat jener Beteiligte die Kosten zu tragen, dessen Begehren ganz oder teilweise abgewiesen werden (Art. 95 Abs. 1 VRP). Ferner hat jeder Beteiligte die Kosten zu übernehmen, die durch nachträgliches Vorbringen von Begehren, Tatsachen oder Beweismitteln entstehen (Art. 95 Abs. 2 VRP). Gestützt darauf sowie aufgrund des Obsiegens der Beschwerdeführerin in einem lediglich sehr geringen Ausmass wären die amtlichen Kosten – angemessen ist vorliegend eine Entscheidgebühr von CHF 1'500 (Art. 7 Ziff. 222 der Gerichtskostenverordnung, sGS 941.12) – der Beschwerdeführerin aufzuerlegen (Art. 95 Abs. 1 VRP). Auf die Erhebung von amtlichen Kosten wird jedoch in der Regel gestützt auf Art. 97 VRP verzichtet, wenn eine Rechtsfrage in einem Verfahren erstmals entschieden wird (R. von Rappard-Hirt, in: Rizvi/Schindler/Cavelti [Hrsg.], a.a.O., N 7 zu Art. 97 VRP). Da vor der Beschwerdeerhebung noch keine Entscheide des Verwaltungsgerichts im Zusammenhang mit Härtefallmassnahmen für Unternehmen aufgrund der Covid-19-Gesetzgebung ergangen und publiziert worden sind, rechtfertigt es sich daher, auf die Erhebung der Kosten zu verzichten. Bei diesem Verfahrensausgang besteht kein Anspruch der Beschwerdeführerin auf eine ausseramtliche Entschädigung (Art. 98 bis VRP). Der Vorinstanz steht sodann kein Kostenersatz zu (vgl. VerwGE B 2017/59 vom 23. März 2018 E. 7 mit Hinweis auf R. Hirt, Die Regelung der Kosten nach st. gallischem Verwaltungsrechtspflegegesetz, Lachen/St. Gallen 2004, S. 176 ff.). Sie haben denn auch beide keinen Antrag gestellt. Demnach erkennt das Verwaltungsgericht auf dem Zirkulationsweg zu Recht: Die Beschwerde wird teilweise gutgeheissen, Ziff. 1 der vorinstanzlichen Verfügung vom 22. Juni 2021 aufgehoben und der Beschwerdeführerin im Sinne der Erwägungen ein nicht rückzahlbarer Beitrag von CHF 71'300 zugesprochen, wobei allenfalls bereits ausbezahlte Beiträge daran anzurechnen sind. Im Übrigen wird die Beschwerde abgewiesen. Die amtlichen Kosten des Beschwerdeverfahrens von CHF 1'500 werden der Beschwerdeführerin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